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/>
          <w:b/>
          <w:bCs/>
          <w:kern w:val="0"/>
          <w:sz w:val="32"/>
          <w:szCs w:val="32"/>
          <w:lang w:bidi="ar"/>
        </w:rPr>
        <w:t>深圳市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bidi="ar"/>
        </w:rPr>
        <w:t>萨米医疗中心综合布线资格标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val="en-US" w:eastAsia="zh-CN" w:bidi="ar"/>
        </w:rPr>
        <w:t>询价</w:t>
      </w:r>
      <w:r>
        <w:rPr>
          <w:rFonts w:ascii="宋体" w:hAnsi="宋体" w:cs="宋体"/>
          <w:b/>
          <w:bCs/>
          <w:kern w:val="0"/>
          <w:sz w:val="32"/>
          <w:szCs w:val="32"/>
          <w:lang w:bidi="ar"/>
        </w:rPr>
        <w:t>征集</w:t>
      </w:r>
    </w:p>
    <w:p>
      <w:pPr>
        <w:rPr>
          <w:lang w:bidi="ar"/>
        </w:rPr>
      </w:pPr>
    </w:p>
    <w:p>
      <w:pPr>
        <w:pStyle w:val="2"/>
        <w:numPr>
          <w:ilvl w:val="0"/>
          <w:numId w:val="1"/>
        </w:numPr>
        <w:spacing w:line="360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深圳市萨米医疗中心（深圳市第四人民医院）</w:t>
      </w:r>
      <w:r>
        <w:rPr>
          <w:rFonts w:hint="eastAsia"/>
          <w:b/>
          <w:bCs/>
          <w:sz w:val="24"/>
          <w:szCs w:val="28"/>
        </w:rPr>
        <w:t>简介</w:t>
      </w:r>
    </w:p>
    <w:p>
      <w:pPr>
        <w:spacing w:line="360" w:lineRule="auto"/>
        <w:ind w:firstLine="420" w:firstLineChars="200"/>
      </w:pPr>
      <w:r>
        <w:t>深圳市萨米医疗中心（深圳市第四人民医院）是集医疗、科研、教学、预防、保健、康复于一体的市属公立医院，按照三级综合医院标准建设，占地9万平方米，一期建筑面积13.7万平方米，直属于深圳市卫生健康委员会，是深圳市儿童友好型医院。2020年荣获“深圳市抗击新冠肺炎疫情先进集体”称号；在2021年中国医院建设奖评选活动中，被评为“第四届中国最美医院”；2022年被广东省卫生健康委评为“老年友善医院”；2024年荣获全国“ 公共机构水效领跑者（2024-2026年度）”称号。</w:t>
      </w:r>
    </w:p>
    <w:p>
      <w:pPr>
        <w:spacing w:line="360" w:lineRule="auto"/>
        <w:ind w:firstLine="420" w:firstLineChars="200"/>
      </w:pPr>
      <w:r>
        <w:t>医院由深圳市卫生健康委员会与世界神经外科联合会（WFNS）终身荣誉主席马吉德·萨米教授(Prof. Madjid Samii)团队合作运营，为我国境内唯一一家中外合作运营的市属公立医院，由医院管理经验丰富的外籍人士担任院长，拥有外籍医生和员工。医院在运营中合理借鉴国际先进的医院管理模式和标准，引入国际化的服务理念，为大量国内外患者提供优质诊疗服务。自医院创建以来，即明确以“大综合、强专科”为学科建设目标。</w:t>
      </w:r>
    </w:p>
    <w:p>
      <w:pPr>
        <w:pStyle w:val="2"/>
        <w:spacing w:line="360" w:lineRule="auto"/>
        <w:ind w:firstLine="420" w:firstLineChars="200"/>
      </w:pPr>
      <w:r>
        <w:t>作为首家落户在深圳东部地区的市属公立综合性医院，深圳市萨米医疗中心（深圳市第四人民医院）致力于打造深圳东部高水平医疗服务高地，解决深圳东部区域及周边市区优质医疗资源匮乏的问题。医院将举全院之力，以立足坪山区，服务深圳东部地区，辐射粤港澳大湾区为目标，充分发挥先行者的示范引领作用，为率先形成共建共治共享共同富裕的民生发展格局贡献力量，为快速推动中国特色社会主义先行示范区建设而努力奋斗。</w:t>
      </w:r>
    </w:p>
    <w:p>
      <w:pPr>
        <w:pStyle w:val="2"/>
        <w:numPr>
          <w:ilvl w:val="0"/>
          <w:numId w:val="1"/>
        </w:num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建设内容</w:t>
      </w:r>
    </w:p>
    <w:p>
      <w:pPr>
        <w:spacing w:line="360" w:lineRule="auto"/>
        <w:ind w:firstLine="420" w:firstLineChars="200"/>
      </w:pPr>
      <w:r>
        <w:rPr>
          <w:rFonts w:hint="eastAsia"/>
        </w:rPr>
        <w:t>根据《“十四五”全民健康信息化规划》以及《中共广东省委广东省人民政府关于推进卫生健康高质量发展的意见》等相关文件的规定与要求，深圳市萨米医疗中心结合自身的信息化发展进程和科室建设的速度，决定采取积极措施，对新开设的科室进行信息点位增加。这一举措旨在为市民打造一个更加优质的就医环境，提供更为便捷、高效的服务。通过这种方法，萨米医疗中心将进一步完善其信息化建设，提升医疗服务质量，满足人民群众日益增长的健康需求。同时，这也体现了萨米医疗中心在卫生健康领域的高质量发展理念，以及为人民谋福祉的宗旨。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pStyle w:val="2"/>
        <w:numPr>
          <w:ilvl w:val="0"/>
          <w:numId w:val="1"/>
        </w:num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方案要求：</w:t>
      </w:r>
    </w:p>
    <w:p>
      <w:pPr>
        <w:spacing w:line="360" w:lineRule="auto"/>
        <w:rPr>
          <w:rFonts w:hint="eastAsia"/>
          <w:color w:val="auto"/>
          <w:lang w:val="en-US" w:eastAsia="zh-CN"/>
        </w:rPr>
      </w:pPr>
      <w:bookmarkStart w:id="0" w:name="_GoBack"/>
      <w:r>
        <w:rPr>
          <w:rFonts w:hint="eastAsia"/>
          <w:color w:val="auto"/>
          <w:lang w:val="en-US" w:eastAsia="zh-CN"/>
        </w:rPr>
        <w:t>根据产品描述，提供下列清单产品的品牌型号及价格。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例：</w:t>
      </w:r>
    </w:p>
    <w:p>
      <w:pPr>
        <w:spacing w:line="360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基于产品描述的具体内容，以下是清单中产品品牌型号及价格的整理结果：</w:t>
      </w:r>
    </w:p>
    <w:p>
      <w:pPr>
        <w:spacing w:line="360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 产品一：品牌型号为[具体品牌型号]，售价为[具体价格]。</w:t>
      </w:r>
    </w:p>
    <w:p>
      <w:pPr>
        <w:spacing w:line="360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 产品二：品牌型号为[具体品牌型号]，售价为[具体价格]。</w:t>
      </w:r>
    </w:p>
    <w:p>
      <w:pPr>
        <w:spacing w:line="360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（以此类推，按产品数量逐项列出）</w:t>
      </w:r>
    </w:p>
    <w:p>
      <w:pPr>
        <w:spacing w:line="360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请注意，以上信息基于当前可得的产品描述，如有任何变动，请参照最新产品资料。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格式可自拟</w:t>
      </w:r>
    </w:p>
    <w:bookmarkEnd w:id="0"/>
    <w:p>
      <w:pPr>
        <w:pStyle w:val="2"/>
        <w:numPr>
          <w:ilvl w:val="0"/>
          <w:numId w:val="1"/>
        </w:num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详细清单：</w:t>
      </w: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960"/>
        <w:gridCol w:w="4247"/>
        <w:gridCol w:w="636"/>
        <w:gridCol w:w="559"/>
        <w:gridCol w:w="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产品描述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预计数量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网络点位施工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含面板、底座、模块、六类非屏蔽双绞线、水晶头、人工（单次部署1个点）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716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电话点位施工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含面板、底座、模块、六类非屏蔽双绞、水晶头、人工（单次部署1个点）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网络点位施工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含面板、底座、模块、六类非屏蔽双绞线、水晶头、人工（单次部署2-4个点）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716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电话点位施工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含面板、底座、模块、六类非屏蔽双绞、水晶头、人工（单次部署2-4个点）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网络点位施工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含面板、底座、模块、六类非屏蔽双绞线、水晶头、人工（单次部署5个点及以上）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716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电话点位施工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含面板、底座、模块、六类非屏蔽双绞、水晶头、人工（单次部署5个点及以上）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点位施工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纯人工，打配线架、布线施工等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电话电缆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100对大对数电缆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电话跳线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双头语音RJ11跳线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电话线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4芯电话线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线管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PVC线管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110配线架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100对110配线架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网络跳线（配线架）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六类非屏蔽跳线3米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网络跳线（终端）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六类非屏蔽跳线2米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网络配线架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24位一体式配线架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金属理线器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金属理线器24档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欧标防火门锁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防火门锁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排气扇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轴流式排气扇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防火锁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防火锁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防火阀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防火阀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灭火器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二氧化碳灭火器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机柜底座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机柜底座焊接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六类非屏蔽双绞线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六类非屏蔽双绞线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RJ45模块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六类RJ45模块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电话模块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电话模块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信息面板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单口/双口/空白信息面板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六类非屏蔽水晶头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六类非屏蔽水晶头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光纤熔接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光纤熔接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光电转换器  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百兆多模单电口光电转换器 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光电转换器 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百兆多模双电口光电转换器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t>光缆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4芯室外多模铠装光缆(千兆)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t>光缆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6芯室外多模铠装光缆(千兆)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t>光缆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8芯室外多模铠装光缆(千兆)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t>光缆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4芯室外多模铠装光缆(万兆)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t>光缆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6芯室外多模铠装光缆(万兆)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t>光缆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8芯室外多模铠装光缆(万兆)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t>光缆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12芯室外多模铠装光缆(万兆)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t>光缆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4芯室外单模铠装光缆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t>光缆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6芯室外单模铠装光缆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t>光缆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8芯室外单模铠装光缆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t>国产馈线组件15M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国产馈线组件15M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t>国产馈线组件18M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国产馈线组件18M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t>国产馈线组件1M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国产馈线组件1M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t>国产馈线组件10M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国产馈线组件10M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t>国产馈线组件5M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国产馈线组件5M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8口光纤配线盒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通用挂墙式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12口光纤配线盒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通用机架式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24口光纤配线盒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通用机架式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耦合器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耦合器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尾纤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尾纤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2米双芯多模光纤跳线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2米双芯多模光纤跳线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3米双芯多模光纤跳线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3米双芯多模光纤跳线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5米双芯多模光纤跳线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5米双芯多模光纤跳线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10米双芯多模光纤跳线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10米双芯多模光纤跳线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千兆多模模块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千兆多模模块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万兆多模模块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万兆多模模块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千兆单模模块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千兆单模模块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万兆单模模块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万兆单模模块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6位PDU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6位PDU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8位PDU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8位PDU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10位PDU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10位PDU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16位PDU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16位PDU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24位PDU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24位PDU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42U机柜800*1000*2000mm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配置：固定层板二件，六位电源一套；螺丝50套；风扇四位；脚轮及支脚各一套 ；前玻璃门，后铁门均配小圆锁； 颜色：电脑灰/黑色；四个门均可以打开；前面配两根大线槽；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42U机柜800*960*2000mm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配置：固定层板二件，六位电源一套；螺丝50套；风扇四位；脚轮及支脚各一套 ；前玻璃门，后铁门均配小圆锁； 颜色：电脑灰/黑色；四个门均可以打开；前面配两根大线槽；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42U机柜800*800*2000mm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配置：固定层板二件，六位电源一套；螺丝50套；风扇四位；脚轮及支脚各一套 ；前玻璃门，后铁门均配小圆锁； 颜色：电脑灰/黑色；四个门均可以打开；前面配两根大线槽；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42U机柜600*1000*2000mm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配置：固定层板二件，六位电源一套；螺丝50套；风扇四位；脚轮及支脚各一套 ；前玻璃门，后铁门均配小圆锁； 颜色：电脑灰/黑色；四个门均可以打开；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42U机柜600*960*2000mm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配置：固定层板二件，六位电源一套；螺丝50套；风扇四位；脚轮及支脚各一套 ；前玻璃门，后铁门均配小圆锁； 颜色：电脑灰/黑色；四个门均可以打开；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42U机柜600*800*2000mm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配置：固定层板二件，六位电源一套；螺丝50套；风扇四位；脚轮及支脚各一套 ；前玻璃门，后铁门均配小圆锁； 颜色：电脑灰/黑色；四个门均可以打开；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42U机柜600*600*2000mm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配置：固定层板二件，六位电源一套；螺丝50套；风扇二位；脚轮及支脚各一套 ；前玻璃门，后铁门均配小圆锁； 颜色：电脑灰/黑色；四个门均可以打开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37U机柜600*600*1800mm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配置：固定层板二件，六位电源一套；螺丝50套；风扇二位；脚轮及支脚各一套 ；前玻璃门，后铁门均配小圆锁； 颜色：电脑灰/黑色；四个门均可以打开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27U机柜600*600*1400mm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配置：固定层板一件，六位电源一套；螺丝50套；风扇二位；脚轮及支脚各一套 ；前玻璃门，后铁门均配小圆锁； 颜色：电脑灰/黑色；四个门均可以打开； 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22U机柜600*600*1200mm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配置：固定层板一件，六位电源一套；螺丝50套；风扇二位；脚轮及支脚各一套 ；前玻璃门，后铁门均配小圆锁； 颜色：电脑灰/黑色；四个门均可以打开； 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18U机柜600*600*1000mm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配置：固定层板一件，六位电源一套；螺丝50套；风扇二位；脚轮及支脚各一套 ；前玻璃门，后铁门均配小圆锁； 颜色：电脑灰/黑色；四个门均可以打开； 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14U机柜600*600*800mm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配置：固定层板一件，六位电源一套；螺丝50套；风扇二位；脚轮及支脚各一套 ；前玻璃门，后铁门均配小圆锁； 颜色：电脑灰/黑色；四个门均可以打开； 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12U机柜600*600**635mm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配置：一件固定层板；一套四位电源；螺丝30套；一位风扇；颜色：电脑灰/黑色；前玻璃门、后铁门为挂式，两侧门均可打开；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6U机柜600*600**350mm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配置：一件固定层板；一套四位电源；螺丝30套；一位风扇；颜色：电脑灰/黑色；前玻璃门、后铁门为挂式，两侧门均可打开；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12U机柜600*450**635mm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配置：一件固定层板；一套四位电源；螺丝30套；一位风扇； 颜色：电脑灰/黑色；前玻璃门、后铁门为挂式，两侧门均不可打开；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9U机柜600*450*505mm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配置：一件固定层板；一套四位电源；螺丝30套；一位风扇； 颜色：电脑灰/黑色；前玻璃门、后铁门为挂式，两侧门均不可打开；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6U机柜600*450*350mm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配置：一件固定层板；一套四位电源；螺丝30套；一位风扇； 颜色：电脑灰/黑色；前玻璃门、后铁门为挂式，两侧门均不可打开；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6U机柜600*600**430mm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配置：固定层板一件，六位电源一套；螺丝50套；风扇二位；脚轮及支脚各一套 ；前玻璃门，后铁门均配小圆锁； 颜色：电脑灰/黑色；四个门均可以打开；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无线AP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MIMO:空间流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2×2:2 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无线协议 ：802.11a/b/g/n/ac/ac wave2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最高速率 ：1.267Gbps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室外无线AP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MIMO:空间流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2×2:2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无线协议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：802.11a/b/g/n/ac/ac wave2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最高速率 ：1.267Gbps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远端接入单元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MIMO:空间流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2×2:2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无线协议 802.11a/b/g/n/ac/ac wave2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最高速率 ：1.267Gbps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textAlignment w:val="center"/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视频交换机</w:t>
            </w:r>
          </w:p>
        </w:tc>
        <w:tc>
          <w:tcPr>
            <w:tcW w:w="2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1、端口：16千兆电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2、交换容量：32Gbps，包转发量：23.74Mpps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台</w:t>
            </w:r>
          </w:p>
        </w:tc>
      </w:tr>
    </w:tbl>
    <w:p>
      <w:pPr>
        <w:pStyle w:val="2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C1244"/>
    <w:multiLevelType w:val="singleLevel"/>
    <w:tmpl w:val="2BCC124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9578DFF"/>
    <w:multiLevelType w:val="singleLevel"/>
    <w:tmpl w:val="79578D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ZjM4M2FmZDA1NDQ5OTFhNzNkMmZkZGRkOTliNmMifQ=="/>
  </w:docVars>
  <w:rsids>
    <w:rsidRoot w:val="077B1B0F"/>
    <w:rsid w:val="008F5DC3"/>
    <w:rsid w:val="009F1695"/>
    <w:rsid w:val="00DC6726"/>
    <w:rsid w:val="077B1B0F"/>
    <w:rsid w:val="112042AE"/>
    <w:rsid w:val="7EC7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721</Words>
  <Characters>4110</Characters>
  <Lines>34</Lines>
  <Paragraphs>9</Paragraphs>
  <TotalTime>8</TotalTime>
  <ScaleCrop>false</ScaleCrop>
  <LinksUpToDate>false</LinksUpToDate>
  <CharactersWithSpaces>4822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2024-06-26T03:58:00Z</dcterms:created>
  <dc:creator>嘻嘻</dc:creator>
  <cp:lastModifiedBy>嘻嘻</cp:lastModifiedBy>
  <dcterms:modified xsi:type="dcterms:W3CDTF">2024-06-26T08:48:40Z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A027703DA1134B9C96AB535FBAC1AA17_13</vt:lpwstr>
  </property>
</Properties>
</file>