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720" w:lineRule="auto"/>
        <w:ind w:right="24" w:firstLine="0" w:firstLineChars="0"/>
        <w:jc w:val="center"/>
        <w:rPr>
          <w:rFonts w:hint="eastAsia" w:ascii="Book Antiqua" w:hAnsi="Book Antiqua" w:eastAsia="方正小标宋_GBK" w:cs="Book Antiqua"/>
          <w:b w:val="0"/>
          <w:bCs w:val="0"/>
          <w:color w:val="auto"/>
          <w:sz w:val="44"/>
          <w:szCs w:val="24"/>
          <w:lang w:val="en-US" w:eastAsia="zh-CN"/>
        </w:rPr>
      </w:pPr>
      <w:r>
        <w:rPr>
          <w:rFonts w:hint="eastAsia" w:ascii="Book Antiqua" w:hAnsi="Book Antiqua" w:eastAsia="方正小标宋_GBK" w:cs="Book Antiqua"/>
          <w:b w:val="0"/>
          <w:bCs w:val="0"/>
          <w:color w:val="auto"/>
          <w:sz w:val="44"/>
          <w:szCs w:val="24"/>
          <w:lang w:val="en-US" w:eastAsia="zh-CN"/>
        </w:rPr>
        <w:t>研究者汇报项目提纲</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default" w:ascii="Book Antiqua" w:hAnsi="Book Antiqua" w:eastAsia="黑体" w:cs="Book Antiqua"/>
          <w:kern w:val="2"/>
          <w:sz w:val="28"/>
          <w:szCs w:val="28"/>
          <w:lang w:val="en-US" w:eastAsia="zh-CN" w:bidi="ar-SA"/>
        </w:rPr>
        <w:t>PI</w:t>
      </w:r>
      <w:r>
        <w:rPr>
          <w:rFonts w:hint="eastAsia" w:ascii="黑体" w:eastAsia="黑体" w:hAnsiTheme="minorHAnsi" w:cstheme="minorBidi"/>
          <w:kern w:val="2"/>
          <w:sz w:val="28"/>
          <w:szCs w:val="28"/>
          <w:lang w:val="en-US" w:eastAsia="zh-CN" w:bidi="ar-SA"/>
        </w:rPr>
        <w:t>简介</w:t>
      </w:r>
    </w:p>
    <w:p>
      <w:pPr>
        <w:keepNext w:val="0"/>
        <w:keepLines w:val="0"/>
        <w:pageBreakBefore w:val="0"/>
        <w:widowControl w:val="0"/>
        <w:numPr>
          <w:ilvl w:val="0"/>
          <w:numId w:val="0"/>
        </w:numPr>
        <w:kinsoku/>
        <w:wordWrap/>
        <w:overflowPunct/>
        <w:topLinePunct w:val="0"/>
        <w:bidi w:val="0"/>
        <w:snapToGrid/>
        <w:spacing w:line="560" w:lineRule="exact"/>
        <w:ind w:leftChars="200"/>
        <w:textAlignment w:val="auto"/>
        <w:rPr>
          <w:rFonts w:hint="default"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（体现研究者的资格、经验、技术能力）</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项目基本概况</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组长单位、参加单位、试验总例数、本中心计划例数、研究持续时间。</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研究目的</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立题依据</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解释为何要进行该研究（科学性和社会价值），阐述该研究设计的原理。</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研究药物/医疗器械的信息</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560" w:firstLineChars="200"/>
        <w:jc w:val="both"/>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作用机制、药代动力学、人体毒副作用、前期研究安全性及疗效结果（包括临床前，I期，II-IV期等）、</w:t>
      </w:r>
      <w:r>
        <w:rPr>
          <w:rFonts w:hint="default" w:ascii="仿宋_GB2312" w:eastAsia="仿宋_GB2312"/>
          <w:color w:val="000000" w:themeColor="text1"/>
          <w:sz w:val="28"/>
          <w:szCs w:val="28"/>
          <w:lang w:val="en-US" w:eastAsia="zh-CN"/>
          <w14:textFill>
            <w14:solidFill>
              <w14:schemeClr w14:val="tx1"/>
            </w14:solidFill>
          </w14:textFill>
        </w:rPr>
        <w:t>国内外已知同类产品的研究结果、</w:t>
      </w:r>
      <w:r>
        <w:rPr>
          <w:rFonts w:hint="eastAsia" w:ascii="仿宋_GB2312" w:eastAsia="仿宋_GB2312"/>
          <w:color w:val="000000" w:themeColor="text1"/>
          <w:sz w:val="28"/>
          <w:szCs w:val="28"/>
          <w:lang w:val="en-US" w:eastAsia="zh-CN"/>
          <w14:textFill>
            <w14:solidFill>
              <w14:schemeClr w14:val="tx1"/>
            </w14:solidFill>
          </w14:textFill>
        </w:rPr>
        <w:t>在研药物剂量及给药方式/医疗器械的使用方式。</w:t>
      </w:r>
    </w:p>
    <w:p>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该部分内容对评估研究风险至关重要。</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研究的设计</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入/排标准，退出/终止研究标准</w:t>
      </w:r>
    </w:p>
    <w:p>
      <w:pPr>
        <w:pStyle w:val="2"/>
        <w:keepNext w:val="0"/>
        <w:keepLines w:val="0"/>
        <w:pageBreakBefore w:val="0"/>
        <w:widowControl w:val="0"/>
        <w:kinsoku/>
        <w:wordWrap/>
        <w:overflowPunct/>
        <w:topLinePunct w:val="0"/>
        <w:bidi w:val="0"/>
        <w:snapToGrid/>
        <w:spacing w:line="560" w:lineRule="exact"/>
        <w:ind w:left="0" w:firstLine="420" w:firstLineChars="15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（研究参与者的选择是否满足研究目的要求？是否排除了高风险人群？是否排除了干扰因素？研究参与者选择是否公平？）</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试验方法：随机分组情况，对照的选择</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（是选择公认有效的干预措施还是安慰剂或空白对照？选择理由）</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研究流程</w:t>
      </w:r>
    </w:p>
    <w:p>
      <w:pPr>
        <w:pStyle w:val="2"/>
        <w:keepNext w:val="0"/>
        <w:keepLines w:val="0"/>
        <w:pageBreakBefore w:val="0"/>
        <w:widowControl w:val="0"/>
        <w:kinsoku/>
        <w:wordWrap/>
        <w:overflowPunct/>
        <w:topLinePunct w:val="0"/>
        <w:bidi w:val="0"/>
        <w:snapToGrid/>
        <w:spacing w:line="560" w:lineRule="exact"/>
        <w:ind w:left="0" w:firstLine="420" w:firstLineChars="15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（筛选过程是否符合入选/排除标准的要求？对研究参与者现有或常规治疗的影响？如果存在洗脱期，是否对研究参与者造成风险，对研究参与者如何监护？如何避免或控制？</w:t>
      </w:r>
      <w:r>
        <w:rPr>
          <w:rFonts w:hint="eastAsia" w:ascii="仿宋_GB2312" w:eastAsia="仿宋_GB2312"/>
          <w:color w:val="000000" w:themeColor="text1"/>
          <w:sz w:val="28"/>
          <w:szCs w:val="28"/>
          <w:lang w:val="en-US" w:eastAsia="zh-CN"/>
          <w14:textFill>
            <w14:solidFill>
              <w14:schemeClr w14:val="tx1"/>
            </w14:solidFill>
          </w14:textFill>
        </w:rPr>
        <w:t>如何避免选择性偏倚？</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如何保证设盲？）</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研究的风险</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仿宋_GB2312" w:eastAsia="仿宋_GB2312"/>
          <w:color w:val="000000" w:themeColor="text1"/>
          <w:sz w:val="28"/>
          <w:szCs w:val="28"/>
          <w:lang w:val="en-US" w:eastAsia="zh-CN"/>
          <w14:textFill>
            <w14:solidFill>
              <w14:schemeClr w14:val="tx1"/>
            </w14:solidFill>
          </w14:textFill>
        </w:rPr>
        <w:t>（研究行为（包括研究干预和研究程序）可能造成的伤害，生理及心理等）</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控制风险措施</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560" w:firstLineChars="200"/>
        <w:jc w:val="both"/>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（对潜在风险的处理、随访的程序与频率、提前退出/终止研究，是否安排适当的随访或推荐其他治疗、不良事件处理预案、</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研究人员能否胜任</w:t>
      </w:r>
      <w:r>
        <w:rPr>
          <w:rFonts w:hint="eastAsia" w:ascii="仿宋_GB2312" w:eastAsia="仿宋_GB2312" w:cs="宋体"/>
          <w:color w:val="000000" w:themeColor="text1"/>
          <w:kern w:val="0"/>
          <w:sz w:val="28"/>
          <w:szCs w:val="28"/>
          <w:lang w:val="en-US" w:eastAsia="zh-CN" w:bidi="ar-SA"/>
          <w14:textFill>
            <w14:solidFill>
              <w14:schemeClr w14:val="tx1"/>
            </w14:solidFill>
          </w14:textFill>
        </w:rPr>
        <w:t>研究参与者</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的医疗与保护</w:t>
      </w:r>
      <w:r>
        <w:rPr>
          <w:rFonts w:hint="eastAsia" w:ascii="仿宋_GB2312" w:eastAsia="仿宋_GB2312"/>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弱势群体的考虑（如有）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（选择弱势群体的理由，该人群的权益和健康的考虑，是否根据风险程度制定了专门或程序性保护性措施，知情同意的特殊要求）</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研究的获益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研究参与者的受益：具有诊断、治疗或预防的直接益处。如：直接获益：疾病得以好转、减轻病痛。间接获益：获得与自身健康相关的知识、心理安慰。作为激励或报答向参加研究的研究参与者支付的报酬或其他形式的补偿，不应被考虑为研究的“受益”。个体研究研究参与者福祉必须高于所有其他利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科学和社会的受益。如：获得新的知识，如疾病的起因、发展和影响。改进、预防、诊断和治疗措施。）</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研究的费用</w:t>
      </w:r>
    </w:p>
    <w:p>
      <w:pPr>
        <w:pStyle w:val="8"/>
        <w:pageBreakBefore w:val="0"/>
        <w:numPr>
          <w:ilvl w:val="0"/>
          <w:numId w:val="0"/>
        </w:numPr>
        <w:kinsoku/>
        <w:wordWrap/>
        <w:overflowPunct/>
        <w:topLinePunct w:val="0"/>
        <w:bidi w:val="0"/>
        <w:snapToGrid/>
        <w:spacing w:line="560" w:lineRule="exact"/>
        <w:ind w:leftChars="200"/>
        <w:jc w:val="both"/>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（免费？补偿、赔偿标准？）</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数据</w:t>
      </w:r>
    </w:p>
    <w:p>
      <w:pPr>
        <w:pStyle w:val="8"/>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安全性及有效性评价标准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15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（研究期限是否足以观察到终点指标/替代指标的变化）</w:t>
      </w:r>
    </w:p>
    <w:p>
      <w:pPr>
        <w:pStyle w:val="8"/>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是否有中期分析或数据安全监察委员会</w:t>
      </w:r>
    </w:p>
    <w:p>
      <w:pPr>
        <w:pStyle w:val="8"/>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保密措施</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15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（可以接触研究参与者个人资料的人员范围；保护数据安全的措施)</w:t>
      </w:r>
    </w:p>
    <w:p>
      <w:pPr>
        <w:pStyle w:val="8"/>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leftChars="0" w:firstLine="420" w:firstLineChars="15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研究结果发表/公开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150"/>
        <w:textAlignment w:val="auto"/>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研究结果的发表是否会泄露研究参与者的个人信息；某些可能对团体、社会、或人种/民族定义的人群利益带来风险的研究是否考虑了有关各方的利益，以适当的方式发表研究结果，阴性的或未得出结论的研究结果是否同阳性结果一样发表或公开)</w:t>
      </w:r>
    </w:p>
    <w:p>
      <w:pPr>
        <w:keepNext w:val="0"/>
        <w:keepLines w:val="0"/>
        <w:pageBreakBefore w:val="0"/>
        <w:widowControl w:val="0"/>
        <w:numPr>
          <w:ilvl w:val="0"/>
          <w:numId w:val="1"/>
        </w:numPr>
        <w:kinsoku/>
        <w:wordWrap/>
        <w:overflowPunct/>
        <w:topLinePunct w:val="0"/>
        <w:bidi w:val="0"/>
        <w:snapToGrid/>
        <w:spacing w:line="560" w:lineRule="exact"/>
        <w:ind w:firstLine="560" w:firstLineChars="200"/>
        <w:textAlignment w:val="auto"/>
        <w:rPr>
          <w:rFonts w:hint="eastAsia" w:ascii="黑体" w:eastAsia="黑体" w:hAnsiTheme="minorHAnsi" w:cstheme="minorBidi"/>
          <w:kern w:val="2"/>
          <w:sz w:val="28"/>
          <w:szCs w:val="28"/>
          <w:lang w:val="en-US" w:eastAsia="zh-CN" w:bidi="ar-SA"/>
        </w:rPr>
      </w:pPr>
      <w:r>
        <w:rPr>
          <w:rFonts w:hint="eastAsia" w:ascii="黑体" w:eastAsia="黑体" w:hAnsiTheme="minorHAnsi" w:cstheme="minorBidi"/>
          <w:kern w:val="2"/>
          <w:sz w:val="28"/>
          <w:szCs w:val="28"/>
          <w:lang w:val="en-US" w:eastAsia="zh-CN" w:bidi="ar-SA"/>
        </w:rPr>
        <w:t>其他</w:t>
      </w:r>
    </w:p>
    <w:p>
      <w:pPr>
        <w:pStyle w:val="8"/>
        <w:keepNext w:val="0"/>
        <w:keepLines w:val="0"/>
        <w:pageBreakBefore w:val="0"/>
        <w:widowControl w:val="0"/>
        <w:numPr>
          <w:ilvl w:val="0"/>
          <w:numId w:val="5"/>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研究参与者的招募方式与招募材料</w:t>
      </w:r>
    </w:p>
    <w:p>
      <w:pPr>
        <w:pStyle w:val="8"/>
        <w:keepNext w:val="0"/>
        <w:keepLines w:val="0"/>
        <w:pageBreakBefore w:val="0"/>
        <w:widowControl w:val="0"/>
        <w:numPr>
          <w:ilvl w:val="0"/>
          <w:numId w:val="5"/>
        </w:numPr>
        <w:kinsoku/>
        <w:wordWrap/>
        <w:overflowPunct/>
        <w:topLinePunct w:val="0"/>
        <w:autoSpaceDE w:val="0"/>
        <w:autoSpaceDN w:val="0"/>
        <w:bidi w:val="0"/>
        <w:adjustRightInd w:val="0"/>
        <w:snapToGrid/>
        <w:spacing w:line="560" w:lineRule="exact"/>
        <w:ind w:left="0" w:leftChars="0" w:firstLine="420" w:firstLineChars="0"/>
        <w:jc w:val="both"/>
        <w:textAlignment w:val="auto"/>
        <w:rPr>
          <w:rFonts w:hint="eastAsia" w:ascii="楷体_GB2312" w:eastAsia="楷体_GB2312" w:cstheme="minorBidi"/>
          <w:color w:val="auto"/>
          <w:kern w:val="2"/>
          <w:sz w:val="28"/>
          <w:szCs w:val="28"/>
          <w:lang w:val="en-US" w:eastAsia="zh-CN" w:bidi="ar-SA"/>
        </w:rPr>
      </w:pPr>
      <w:r>
        <w:rPr>
          <w:rFonts w:hint="eastAsia" w:ascii="楷体_GB2312" w:eastAsia="楷体_GB2312" w:cstheme="minorBidi"/>
          <w:color w:val="auto"/>
          <w:kern w:val="2"/>
          <w:sz w:val="28"/>
          <w:szCs w:val="28"/>
          <w:lang w:val="en-US" w:eastAsia="zh-CN" w:bidi="ar-SA"/>
        </w:rPr>
        <w:t>知情同意的过程</w:t>
      </w:r>
    </w:p>
    <w:sectPr>
      <w:headerReference r:id="rId3" w:type="default"/>
      <w:footerReference r:id="rId4"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5362A-654F-450E-8017-24A5272A2A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9294C6-526A-4FA9-B825-60C54BCF02D1}"/>
  </w:font>
  <w:font w:name="Cambria">
    <w:panose1 w:val="02040503050406030204"/>
    <w:charset w:val="00"/>
    <w:family w:val="roman"/>
    <w:pitch w:val="default"/>
    <w:sig w:usb0="E00006FF" w:usb1="420024FF" w:usb2="02000000" w:usb3="00000000" w:csb0="2000019F" w:csb1="00000000"/>
    <w:embedRegular r:id="rId3" w:fontKey="{439202E8-2DDD-4DB8-BB8B-44DEBE7CDCEC}"/>
  </w:font>
  <w:font w:name="Book Antiqua">
    <w:panose1 w:val="02040602050305030304"/>
    <w:charset w:val="00"/>
    <w:family w:val="auto"/>
    <w:pitch w:val="default"/>
    <w:sig w:usb0="00000287" w:usb1="00000000" w:usb2="00000000" w:usb3="00000000" w:csb0="2000009F" w:csb1="DFD70000"/>
    <w:embedRegular r:id="rId4" w:fontKey="{AAB3090D-34F6-42C0-BF42-35AA4B79E861}"/>
  </w:font>
  <w:font w:name="方正小标宋_GBK">
    <w:panose1 w:val="03000509000000000000"/>
    <w:charset w:val="86"/>
    <w:family w:val="script"/>
    <w:pitch w:val="default"/>
    <w:sig w:usb0="00000001" w:usb1="080E0000" w:usb2="00000000" w:usb3="00000000" w:csb0="00040000" w:csb1="00000000"/>
    <w:embedRegular r:id="rId5" w:fontKey="{FEF93AFF-1B99-432F-AB40-3845F8AB6C6B}"/>
  </w:font>
  <w:font w:name="仿宋_GB2312">
    <w:panose1 w:val="02010609030101010101"/>
    <w:charset w:val="86"/>
    <w:family w:val="modern"/>
    <w:pitch w:val="default"/>
    <w:sig w:usb0="00000001" w:usb1="080E0000" w:usb2="00000000" w:usb3="00000000" w:csb0="00040000" w:csb1="00000000"/>
    <w:embedRegular r:id="rId6" w:fontKey="{62029AD0-4A99-464C-9AC2-F6A8A95D2A1B}"/>
  </w:font>
  <w:font w:name="楷体_GB2312">
    <w:panose1 w:val="02010609030101010101"/>
    <w:charset w:val="86"/>
    <w:family w:val="modern"/>
    <w:pitch w:val="default"/>
    <w:sig w:usb0="00000001" w:usb1="080E0000" w:usb2="00000000" w:usb3="00000000" w:csb0="00040000" w:csb1="00000000"/>
    <w:embedRegular r:id="rId7" w:fontKey="{945286AB-6B35-4499-84C2-C124CAE17B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r>
      <w:rPr>
        <w:rFonts w:hint="eastAsia" w:ascii="仿宋_GB2312" w:eastAsia="仿宋_GB2312"/>
        <w:b/>
        <w:sz w:val="21"/>
        <w:szCs w:val="21"/>
      </w:rPr>
      <w:t>文件编码：F-</w:t>
    </w:r>
    <w:r>
      <w:rPr>
        <w:rFonts w:hint="eastAsia" w:ascii="仿宋_GB2312" w:eastAsia="仿宋_GB2312"/>
        <w:b/>
        <w:sz w:val="21"/>
        <w:szCs w:val="21"/>
        <w:lang w:val="en-US" w:eastAsia="zh-CN"/>
      </w:rPr>
      <w:t>LL</w:t>
    </w:r>
    <w:r>
      <w:rPr>
        <w:rFonts w:hint="default" w:ascii="仿宋_GB2312"/>
        <w:b/>
        <w:sz w:val="21"/>
        <w:szCs w:val="21"/>
        <w:lang w:val="en-US" w:eastAsia="zh-CN"/>
      </w:rPr>
      <w:t>-0</w:t>
    </w:r>
    <w:r>
      <w:rPr>
        <w:rFonts w:hint="eastAsia" w:ascii="仿宋_GB2312"/>
        <w:b/>
        <w:sz w:val="21"/>
        <w:szCs w:val="21"/>
        <w:lang w:val="en-US" w:eastAsia="zh-CN"/>
      </w:rPr>
      <w:t>3</w:t>
    </w:r>
    <w:r>
      <w:rPr>
        <w:rFonts w:hint="eastAsia" w:ascii="仿宋_GB2312" w:eastAsia="仿宋_GB2312"/>
        <w:b/>
        <w:sz w:val="21"/>
        <w:szCs w:val="21"/>
      </w:rPr>
      <w:t>-</w:t>
    </w:r>
    <w:r>
      <w:rPr>
        <w:rFonts w:hint="eastAsia" w:ascii="仿宋_GB2312" w:eastAsia="仿宋_GB2312"/>
        <w:b/>
        <w:sz w:val="21"/>
        <w:szCs w:val="21"/>
        <w:lang w:val="en-US" w:eastAsia="zh-CN"/>
      </w:rPr>
      <w:t>GZZN</w:t>
    </w:r>
    <w:r>
      <w:rPr>
        <w:rFonts w:hint="eastAsia" w:ascii="仿宋_GB2312" w:eastAsia="仿宋_GB2312"/>
        <w:b/>
        <w:sz w:val="21"/>
        <w:szCs w:val="21"/>
      </w:rPr>
      <w:t>-</w:t>
    </w:r>
    <w:r>
      <w:rPr>
        <w:rFonts w:hint="eastAsia" w:ascii="仿宋_GB2312" w:eastAsia="仿宋_GB2312"/>
        <w:b/>
        <w:sz w:val="21"/>
        <w:szCs w:val="21"/>
        <w:lang w:val="en-US" w:eastAsia="zh-CN"/>
      </w:rPr>
      <w:t>1</w:t>
    </w:r>
    <w:r>
      <w:rPr>
        <w:rFonts w:hint="eastAsia" w:ascii="仿宋_GB2312" w:eastAsia="仿宋_GB2312"/>
        <w:b/>
        <w:sz w:val="21"/>
        <w:szCs w:val="21"/>
      </w:rPr>
      <w:t>-</w:t>
    </w:r>
    <w:r>
      <w:rPr>
        <w:rFonts w:hint="eastAsia" w:ascii="仿宋_GB2312" w:eastAsia="仿宋_GB2312"/>
        <w:b/>
        <w:sz w:val="21"/>
        <w:szCs w:val="21"/>
        <w:lang w:val="en-US" w:eastAsia="zh-CN"/>
      </w:rPr>
      <w:t>9</w:t>
    </w:r>
    <w:r>
      <w:rPr>
        <w:rFonts w:hint="eastAsia" w:ascii="仿宋_GB2312" w:eastAsia="仿宋_GB2312"/>
        <w:b/>
        <w:sz w:val="21"/>
        <w:szCs w:val="21"/>
      </w:rPr>
      <w:t>-</w:t>
    </w:r>
    <w:r>
      <w:rPr>
        <w:rFonts w:hint="eastAsia" w:ascii="仿宋_GB2312" w:eastAsia="仿宋_GB2312"/>
        <w:b/>
        <w:sz w:val="21"/>
        <w:szCs w:val="21"/>
        <w:lang w:val="en-US" w:eastAsia="zh-CN"/>
      </w:rPr>
      <w:t>1         版本号：03          生效</w:t>
    </w:r>
    <w:r>
      <w:rPr>
        <w:rFonts w:hint="eastAsia" w:ascii="仿宋_GB2312" w:eastAsia="仿宋_GB2312"/>
        <w:b/>
        <w:color w:val="auto"/>
        <w:sz w:val="21"/>
        <w:szCs w:val="21"/>
        <w:lang w:val="en-US" w:eastAsia="zh-CN"/>
      </w:rPr>
      <w:t>日期：</w:t>
    </w:r>
    <w:r>
      <w:rPr>
        <w:rFonts w:hint="eastAsia" w:ascii="仿宋_GB2312" w:eastAsia="仿宋_GB2312"/>
        <w:b/>
        <w:sz w:val="21"/>
        <w:szCs w:val="21"/>
        <w:lang w:val="en-US" w:eastAsia="zh-CN"/>
      </w:rPr>
      <w:t>2024年07月08日</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BFE96"/>
    <w:multiLevelType w:val="singleLevel"/>
    <w:tmpl w:val="837BFE96"/>
    <w:lvl w:ilvl="0" w:tentative="0">
      <w:start w:val="1"/>
      <w:numFmt w:val="chineseCounting"/>
      <w:suff w:val="nothing"/>
      <w:lvlText w:val="%1、"/>
      <w:lvlJc w:val="left"/>
      <w:pPr>
        <w:ind w:left="0" w:firstLine="420"/>
      </w:pPr>
      <w:rPr>
        <w:rFonts w:hint="eastAsia"/>
      </w:rPr>
    </w:lvl>
  </w:abstractNum>
  <w:abstractNum w:abstractNumId="1">
    <w:nsid w:val="97F6F236"/>
    <w:multiLevelType w:val="singleLevel"/>
    <w:tmpl w:val="97F6F236"/>
    <w:lvl w:ilvl="0" w:tentative="0">
      <w:start w:val="1"/>
      <w:numFmt w:val="chineseCounting"/>
      <w:suff w:val="nothing"/>
      <w:lvlText w:val="（%1）"/>
      <w:lvlJc w:val="left"/>
      <w:pPr>
        <w:ind w:left="0" w:firstLine="420"/>
      </w:pPr>
      <w:rPr>
        <w:rFonts w:hint="eastAsia" w:eastAsia="楷体_GB2312"/>
      </w:rPr>
    </w:lvl>
  </w:abstractNum>
  <w:abstractNum w:abstractNumId="2">
    <w:nsid w:val="014CD1A7"/>
    <w:multiLevelType w:val="singleLevel"/>
    <w:tmpl w:val="014CD1A7"/>
    <w:lvl w:ilvl="0" w:tentative="0">
      <w:start w:val="1"/>
      <w:numFmt w:val="chineseCounting"/>
      <w:suff w:val="nothing"/>
      <w:lvlText w:val="（%1）"/>
      <w:lvlJc w:val="left"/>
      <w:pPr>
        <w:ind w:left="0" w:firstLine="420"/>
      </w:pPr>
      <w:rPr>
        <w:rFonts w:hint="eastAsia" w:eastAsia="楷体_GB2312"/>
      </w:rPr>
    </w:lvl>
  </w:abstractNum>
  <w:abstractNum w:abstractNumId="3">
    <w:nsid w:val="0A410A53"/>
    <w:multiLevelType w:val="singleLevel"/>
    <w:tmpl w:val="0A410A53"/>
    <w:lvl w:ilvl="0" w:tentative="0">
      <w:start w:val="1"/>
      <w:numFmt w:val="chineseCounting"/>
      <w:suff w:val="nothing"/>
      <w:lvlText w:val="（%1）"/>
      <w:lvlJc w:val="left"/>
      <w:pPr>
        <w:ind w:left="0" w:firstLine="420"/>
      </w:pPr>
      <w:rPr>
        <w:rFonts w:hint="eastAsia" w:eastAsia="楷体_GB2312"/>
      </w:rPr>
    </w:lvl>
  </w:abstractNum>
  <w:abstractNum w:abstractNumId="4">
    <w:nsid w:val="2FE8DFEA"/>
    <w:multiLevelType w:val="singleLevel"/>
    <w:tmpl w:val="2FE8DFEA"/>
    <w:lvl w:ilvl="0" w:tentative="0">
      <w:start w:val="1"/>
      <w:numFmt w:val="chineseCounting"/>
      <w:suff w:val="nothing"/>
      <w:lvlText w:val="（%1）"/>
      <w:lvlJc w:val="left"/>
      <w:pPr>
        <w:ind w:left="0" w:firstLine="420"/>
      </w:pPr>
      <w:rPr>
        <w:rFonts w:hint="eastAsia" w:eastAsia="楷体_GB2312"/>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A1MTY1NTI3ZTgwMWI1M2M2ZjlkN2Y4NDQ0NTkifQ=="/>
  </w:docVars>
  <w:rsids>
    <w:rsidRoot w:val="00000000"/>
    <w:rsid w:val="00F540E9"/>
    <w:rsid w:val="03C22008"/>
    <w:rsid w:val="07C411A4"/>
    <w:rsid w:val="08D676F8"/>
    <w:rsid w:val="11B35893"/>
    <w:rsid w:val="12205F29"/>
    <w:rsid w:val="130F5E62"/>
    <w:rsid w:val="164E087B"/>
    <w:rsid w:val="232B0864"/>
    <w:rsid w:val="24355276"/>
    <w:rsid w:val="26F23978"/>
    <w:rsid w:val="27A7051F"/>
    <w:rsid w:val="2C061FB4"/>
    <w:rsid w:val="2C250FC6"/>
    <w:rsid w:val="324A2AD7"/>
    <w:rsid w:val="35BA21E7"/>
    <w:rsid w:val="395A3FB1"/>
    <w:rsid w:val="3D5E50FD"/>
    <w:rsid w:val="50232363"/>
    <w:rsid w:val="55721FC4"/>
    <w:rsid w:val="55C12FFC"/>
    <w:rsid w:val="5D3641EB"/>
    <w:rsid w:val="692C3502"/>
    <w:rsid w:val="6FDE54B9"/>
    <w:rsid w:val="794B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spacing w:line="360" w:lineRule="auto"/>
      <w:ind w:firstLine="420" w:firstLineChars="200"/>
    </w:pPr>
  </w:style>
  <w:style w:type="paragraph" w:customStyle="1" w:styleId="8">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1060</Words>
  <Characters>1065</Characters>
  <Lines>0</Lines>
  <Paragraphs>0</Paragraphs>
  <TotalTime>0</TotalTime>
  <ScaleCrop>false</ScaleCrop>
  <LinksUpToDate>false</LinksUpToDate>
  <CharactersWithSpaces>1065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2020-08-24T09:10:00Z</dcterms:created>
  <dc:creator>lenovo</dc:creator>
  <cp:lastModifiedBy>鑫仔ˉVim</cp:lastModifiedBy>
  <dcterms:modified xsi:type="dcterms:W3CDTF">2024-06-27T01:46:07Z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9E00400F79C540678A13F744E5821AE0</vt:lpwstr>
  </property>
</Properties>
</file>